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C5" w:rsidRDefault="00C24CC5">
      <w:pPr>
        <w:spacing w:after="200" w:line="240" w:lineRule="auto"/>
        <w:jc w:val="center"/>
        <w:rPr>
          <w:b/>
          <w:color w:val="000000"/>
          <w:sz w:val="48"/>
          <w:szCs w:val="48"/>
        </w:rPr>
      </w:pPr>
      <w:bookmarkStart w:id="0" w:name="_heading=h.30j0zll" w:colFirst="0" w:colLast="0"/>
      <w:bookmarkStart w:id="1" w:name="_GoBack"/>
      <w:bookmarkEnd w:id="0"/>
      <w:bookmarkEnd w:id="1"/>
    </w:p>
    <w:p w:rsidR="00C24CC5" w:rsidRDefault="00BF13AA">
      <w:pPr>
        <w:spacing w:after="200" w:line="240" w:lineRule="auto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TotalEnergies</w:t>
      </w:r>
      <w:proofErr w:type="spellEnd"/>
      <w:r>
        <w:rPr>
          <w:b/>
          <w:sz w:val="48"/>
          <w:szCs w:val="48"/>
        </w:rPr>
        <w:t xml:space="preserve"> amplía su red de</w:t>
      </w:r>
    </w:p>
    <w:p w:rsidR="00C24CC5" w:rsidRDefault="00BF13AA">
      <w:pPr>
        <w:spacing w:after="200" w:line="240" w:lineRule="auto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Quartz</w:t>
      </w:r>
      <w:proofErr w:type="spellEnd"/>
      <w:r>
        <w:rPr>
          <w:b/>
          <w:sz w:val="48"/>
          <w:szCs w:val="48"/>
        </w:rPr>
        <w:t xml:space="preserve"> Auto </w:t>
      </w:r>
      <w:proofErr w:type="spellStart"/>
      <w:r>
        <w:rPr>
          <w:b/>
          <w:sz w:val="48"/>
          <w:szCs w:val="48"/>
        </w:rPr>
        <w:t>Services</w:t>
      </w:r>
      <w:proofErr w:type="spellEnd"/>
    </w:p>
    <w:p w:rsidR="00C24CC5" w:rsidRDefault="00BF13AA">
      <w:pPr>
        <w:spacing w:after="20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Neumáticos Flores abrió sus puertas el viernes 10 de febrero, convirtiéndose así en el taller especializado número 25 de la red en Argentina</w:t>
      </w:r>
    </w:p>
    <w:p w:rsidR="00C24CC5" w:rsidRDefault="00BF13AA">
      <w:pPr>
        <w:spacing w:after="200" w:line="240" w:lineRule="auto"/>
      </w:pPr>
      <w:r>
        <w:rPr>
          <w:b/>
        </w:rPr>
        <w:t>Buenos Aires, 10 de febrero de 2023 –</w:t>
      </w:r>
      <w:r>
        <w:t xml:space="preserve"> </w:t>
      </w:r>
      <w:proofErr w:type="spellStart"/>
      <w:r>
        <w:t>TotalEnergies</w:t>
      </w:r>
      <w:proofErr w:type="spellEnd"/>
      <w:r>
        <w:t xml:space="preserve"> ofrece en sus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Services</w:t>
      </w:r>
      <w:proofErr w:type="spellEnd"/>
      <w:r>
        <w:t xml:space="preserve">, </w:t>
      </w:r>
      <w:proofErr w:type="gramStart"/>
      <w:r>
        <w:t>un experiencia rápida</w:t>
      </w:r>
      <w:proofErr w:type="gramEnd"/>
      <w:r>
        <w:t>, cómoda, de alta calidad y eficiente, brindado por equipos capacitados y profesionales en un ambiente limpio, prolijo y seguro.</w:t>
      </w:r>
    </w:p>
    <w:p w:rsidR="00C24CC5" w:rsidRDefault="00BF13AA">
      <w:pPr>
        <w:spacing w:after="200" w:line="240" w:lineRule="auto"/>
      </w:pPr>
      <w:r>
        <w:t xml:space="preserve">Ubicado en Av. Cabildo 4520 (CP 1429) CABA, el </w:t>
      </w:r>
      <w:proofErr w:type="spellStart"/>
      <w:r>
        <w:t>Quartz</w:t>
      </w:r>
      <w:proofErr w:type="spellEnd"/>
      <w:r>
        <w:t xml:space="preserve"> A</w:t>
      </w:r>
      <w:r>
        <w:t xml:space="preserve">uto </w:t>
      </w:r>
      <w:proofErr w:type="spellStart"/>
      <w:r>
        <w:t>Services</w:t>
      </w:r>
      <w:proofErr w:type="spellEnd"/>
      <w:r>
        <w:t xml:space="preserve"> Neumáticos Flores abrió sus puertas el viernes 10 de febrero, convirtiéndose así en el taller especializado número 25 de la cadena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Services</w:t>
      </w:r>
      <w:proofErr w:type="spellEnd"/>
      <w:r>
        <w:t xml:space="preserve"> de Argentina.</w:t>
      </w:r>
    </w:p>
    <w:p w:rsidR="00C24CC5" w:rsidRDefault="00BF13AA">
      <w:pPr>
        <w:spacing w:after="200" w:line="240" w:lineRule="auto"/>
      </w:pPr>
      <w:r>
        <w:t xml:space="preserve">Para 2023, </w:t>
      </w:r>
      <w:proofErr w:type="spellStart"/>
      <w:r>
        <w:t>TotalEnergies</w:t>
      </w:r>
      <w:proofErr w:type="spellEnd"/>
      <w:r>
        <w:t xml:space="preserve"> tiene como ambición continuar con la expansión de la</w:t>
      </w:r>
      <w:r>
        <w:t xml:space="preserve"> red con el objetivo de alcanzar 32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Services</w:t>
      </w:r>
      <w:proofErr w:type="spellEnd"/>
      <w:r>
        <w:t xml:space="preserve"> priorizando el desarrollo en Capital Federal (el primer centro en dicha locación inaugurará el 10 de </w:t>
      </w:r>
      <w:proofErr w:type="gramStart"/>
      <w:r>
        <w:t>Febrero</w:t>
      </w:r>
      <w:proofErr w:type="gramEnd"/>
      <w:r>
        <w:t>), el AMBA y el interior de Buenos Aires, donde hay puntos próximos a inaugurar en Saladill</w:t>
      </w:r>
      <w:r>
        <w:t>o y Bahía Blanca.</w:t>
      </w:r>
    </w:p>
    <w:p w:rsidR="00C24CC5" w:rsidRDefault="00BF13AA">
      <w:pPr>
        <w:spacing w:after="200" w:line="240" w:lineRule="auto"/>
      </w:pPr>
      <w:r>
        <w:t xml:space="preserve">“Es un orgullo para nosotros inaugurar junto a Neumáticos Flores el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Services</w:t>
      </w:r>
      <w:proofErr w:type="spellEnd"/>
      <w:r>
        <w:t xml:space="preserve"> número 25 de la red y continuar desarrollando la red de servicios que pone a </w:t>
      </w:r>
      <w:proofErr w:type="spellStart"/>
      <w:r>
        <w:t>TotalEnergies</w:t>
      </w:r>
      <w:proofErr w:type="spellEnd"/>
      <w:r>
        <w:t xml:space="preserve"> cada vez más cerca de nuestros clientes”, Jonathan </w:t>
      </w:r>
      <w:proofErr w:type="spellStart"/>
      <w:r>
        <w:t>Kleiner</w:t>
      </w:r>
      <w:proofErr w:type="spellEnd"/>
      <w:r>
        <w:t xml:space="preserve">, Responsable de Car </w:t>
      </w:r>
      <w:proofErr w:type="spellStart"/>
      <w:r>
        <w:t>Services</w:t>
      </w:r>
      <w:proofErr w:type="spellEnd"/>
      <w:r>
        <w:t xml:space="preserve"> de </w:t>
      </w:r>
      <w:proofErr w:type="spellStart"/>
      <w:r>
        <w:t>TotalEnergies</w:t>
      </w:r>
      <w:proofErr w:type="spellEnd"/>
      <w:r>
        <w:t xml:space="preserve"> División Marketing &amp; </w:t>
      </w:r>
      <w:proofErr w:type="spellStart"/>
      <w:r>
        <w:t>Services</w:t>
      </w:r>
      <w:proofErr w:type="spellEnd"/>
      <w:r>
        <w:t>.</w:t>
      </w:r>
    </w:p>
    <w:p w:rsidR="00C24CC5" w:rsidRDefault="00BF13AA">
      <w:pPr>
        <w:spacing w:after="200" w:line="240" w:lineRule="auto"/>
      </w:pPr>
      <w:r>
        <w:t>“A través de esta alianza podemos ofrecer a nuestros clientes los mejores productos lubricantes y refrigerantes mediante un cómodo sistema de gestión. Estamos felices de comenzar</w:t>
      </w:r>
      <w:r>
        <w:t xml:space="preserve"> este camino de la mano de una compañía con la trayectoria y </w:t>
      </w:r>
      <w:proofErr w:type="spellStart"/>
      <w:r>
        <w:t>expertise</w:t>
      </w:r>
      <w:proofErr w:type="spellEnd"/>
      <w:r>
        <w:t xml:space="preserve"> como </w:t>
      </w:r>
      <w:proofErr w:type="spellStart"/>
      <w:r>
        <w:t>TotalEnergies</w:t>
      </w:r>
      <w:proofErr w:type="spellEnd"/>
      <w:r>
        <w:t>.”, Fernando Chamorro, Dueño, Neumáticos Flores.</w:t>
      </w:r>
    </w:p>
    <w:p w:rsidR="00C24CC5" w:rsidRDefault="00BF13AA">
      <w:pPr>
        <w:spacing w:after="200" w:line="240" w:lineRule="auto"/>
      </w:pPr>
      <w:r>
        <w:t xml:space="preserve">Los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Services</w:t>
      </w:r>
      <w:proofErr w:type="spellEnd"/>
      <w:r>
        <w:t xml:space="preserve"> son talleres especializados en servicios rápidos de cambio de aceite y mecánica ligera, y cue</w:t>
      </w:r>
      <w:r>
        <w:t xml:space="preserve">ntan con una amplia y variada gama, con productos </w:t>
      </w:r>
      <w:proofErr w:type="spellStart"/>
      <w:r>
        <w:t>TotalEnergies</w:t>
      </w:r>
      <w:proofErr w:type="spellEnd"/>
      <w:r>
        <w:t xml:space="preserve"> y ELF adaptados para cada necesidad. En estos establecimientos se ofrece adicionalmente controles de seguridad, revisión y diagnóstico de los puntos más relevantes del mantenimiento preventivo</w:t>
      </w:r>
      <w:r>
        <w:t xml:space="preserve"> del equipo.</w:t>
      </w:r>
    </w:p>
    <w:p w:rsidR="00C24CC5" w:rsidRDefault="00BF13AA">
      <w:pPr>
        <w:spacing w:after="200" w:line="240" w:lineRule="auto"/>
      </w:pPr>
      <w:r>
        <w:t>Los clientes acceden a los siguientes servicios: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Cambio de aceite y filtros.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Venta de aceites, líquidos refrigerantes, grasas, líquidos limpia parabrisas y líquidos de freno.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Venta de baterías, escobillas, lámparas y accesorios específicos.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lastRenderedPageBreak/>
        <w:t>Re</w:t>
      </w:r>
      <w:r>
        <w:t>visión y diagnóstico.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12 puntos en cada servicio de cambio de aceite: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Nivel de carga de batería.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Estado y presión de neumáticos.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Estado del tubo de escape.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Nivel y estado del líquido de frenos.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Estado de las pastillas de freno.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Nivel del refrigerante, even</w:t>
      </w:r>
      <w:r>
        <w:t>tual completado.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Estado del filtro de aire, eventual cambio.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Nivel del líquido limpiaparabrisas, eventual completado.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Estado y funcionamiento de luces interiores y exteriores, eventual cambio.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Nivel de aceite de la transmisión, eventual completado.</w:t>
      </w:r>
    </w:p>
    <w:p w:rsidR="00C24CC5" w:rsidRDefault="00BF13AA">
      <w:pPr>
        <w:numPr>
          <w:ilvl w:val="0"/>
          <w:numId w:val="1"/>
        </w:numPr>
        <w:spacing w:line="240" w:lineRule="auto"/>
      </w:pPr>
      <w:r>
        <w:t>Verificación de las correas, excepto la de la transmisión.</w:t>
      </w:r>
    </w:p>
    <w:p w:rsidR="00C24CC5" w:rsidRDefault="00BF13AA">
      <w:pPr>
        <w:numPr>
          <w:ilvl w:val="0"/>
          <w:numId w:val="1"/>
        </w:numPr>
        <w:spacing w:after="200" w:line="240" w:lineRule="auto"/>
      </w:pPr>
      <w:r>
        <w:t>Estado y eventual cambio de escobillas.</w:t>
      </w:r>
    </w:p>
    <w:p w:rsidR="00C24CC5" w:rsidRDefault="00BF13AA">
      <w:pPr>
        <w:spacing w:after="200" w:line="240" w:lineRule="auto"/>
      </w:pPr>
      <w:r>
        <w:t xml:space="preserve"> </w:t>
      </w:r>
    </w:p>
    <w:p w:rsidR="00C24CC5" w:rsidRDefault="00BF13AA">
      <w:pPr>
        <w:spacing w:after="200" w:line="240" w:lineRule="auto"/>
      </w:pPr>
      <w:r>
        <w:t xml:space="preserve">Neumáticos Flores nace bajo la iniciativa de satisfacer las necesidades de quienes cuentan con un vehículo automotor y brindarles servicios especializados </w:t>
      </w:r>
      <w:r>
        <w:t>en venta de neumáticos para automóvil y camioneta. Están presentes en el mercado desde hace más de 8 años, vendiendo neumáticos para todo tipo de vehículo y ofreciendo servicios de alineación, balanceo computarizados, suspensión, frenos, amortiguación y to</w:t>
      </w:r>
      <w:r>
        <w:t>do lo referido al tren delantero y mecánica ligera.</w:t>
      </w:r>
    </w:p>
    <w:p w:rsidR="00C24CC5" w:rsidRDefault="00BF13AA">
      <w:pPr>
        <w:spacing w:after="200" w:line="240" w:lineRule="auto"/>
      </w:pPr>
      <w:r>
        <w:t xml:space="preserve">Como parte de su estrategia de expansión e imagen institucional, </w:t>
      </w:r>
      <w:proofErr w:type="spellStart"/>
      <w:r>
        <w:t>TotalEnergies</w:t>
      </w:r>
      <w:proofErr w:type="spellEnd"/>
      <w:r>
        <w:t xml:space="preserve"> Argentina lanzó a principios del 2016 el proyecto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Services</w:t>
      </w:r>
      <w:proofErr w:type="spellEnd"/>
      <w:r>
        <w:t xml:space="preserve"> cuyo pilar fundamental es acercarse a los consumidores</w:t>
      </w:r>
      <w:r>
        <w:t xml:space="preserve"> ofreciendo un espacio atractivo, limpio y confortable, con equipamiento y herramientas modernos y de alta calidad, además de personal capacitado y cualificado para guiarlo y asesorarlo en el proceso.</w:t>
      </w:r>
    </w:p>
    <w:p w:rsidR="00C24CC5" w:rsidRDefault="00BF13AA">
      <w:pPr>
        <w:spacing w:after="200" w:line="240" w:lineRule="auto"/>
      </w:pPr>
      <w:r>
        <w:t xml:space="preserve">La primera tienda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Services</w:t>
      </w:r>
      <w:proofErr w:type="spellEnd"/>
      <w:r>
        <w:t xml:space="preserve"> abrió sus puerta</w:t>
      </w:r>
      <w:r>
        <w:t xml:space="preserve">s en Oriente Medio en el año 2001. Le siguieron varios centros en América del Sur, China, Argelia y Canadá. El concepto </w:t>
      </w:r>
      <w:proofErr w:type="spellStart"/>
      <w:r>
        <w:t>Quartz</w:t>
      </w:r>
      <w:proofErr w:type="spellEnd"/>
      <w:r>
        <w:t xml:space="preserve"> Auto </w:t>
      </w:r>
      <w:proofErr w:type="spellStart"/>
      <w:r>
        <w:t>Service</w:t>
      </w:r>
      <w:proofErr w:type="spellEnd"/>
      <w:r>
        <w:t>, rebautizado luego del cambio estratégico de la compañía, ya cuenta con 25 talleres ubicados en las principales ciud</w:t>
      </w:r>
      <w:r>
        <w:t xml:space="preserve">ades del área metropolitana de Buenos Aires, como Martínez, </w:t>
      </w:r>
      <w:proofErr w:type="spellStart"/>
      <w:r>
        <w:t>Munro</w:t>
      </w:r>
      <w:proofErr w:type="spellEnd"/>
      <w:r>
        <w:t xml:space="preserve">, San Isidro, Pacheco, Quilmes y La Plata, la provincia de Buenos Aires; Junín y </w:t>
      </w:r>
      <w:proofErr w:type="spellStart"/>
      <w:r>
        <w:t>Necochea</w:t>
      </w:r>
      <w:proofErr w:type="spellEnd"/>
      <w:r>
        <w:t xml:space="preserve">, Santa </w:t>
      </w:r>
      <w:proofErr w:type="spellStart"/>
      <w:r>
        <w:t>Fé</w:t>
      </w:r>
      <w:proofErr w:type="spellEnd"/>
      <w:r>
        <w:t xml:space="preserve">, Córdoba, Mendoza, Neuquén, San Juan, Santiago del Estero, Tucumán y Catamarca.    </w:t>
      </w:r>
    </w:p>
    <w:p w:rsidR="00C24CC5" w:rsidRDefault="00C24CC5">
      <w:pPr>
        <w:spacing w:after="200" w:line="240" w:lineRule="auto"/>
      </w:pPr>
    </w:p>
    <w:p w:rsidR="00C24CC5" w:rsidRDefault="00BF13AA">
      <w:pPr>
        <w:spacing w:after="200" w:line="244" w:lineRule="auto"/>
        <w:ind w:left="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* * </w:t>
      </w:r>
      <w:r>
        <w:rPr>
          <w:i/>
          <w:sz w:val="18"/>
          <w:szCs w:val="18"/>
        </w:rPr>
        <w:t>* *</w:t>
      </w:r>
    </w:p>
    <w:p w:rsidR="00C24CC5" w:rsidRDefault="00C24CC5">
      <w:pPr>
        <w:spacing w:after="200" w:line="244" w:lineRule="auto"/>
        <w:ind w:left="80"/>
        <w:jc w:val="center"/>
        <w:rPr>
          <w:i/>
          <w:sz w:val="18"/>
          <w:szCs w:val="18"/>
        </w:rPr>
      </w:pPr>
    </w:p>
    <w:p w:rsidR="00C24CC5" w:rsidRDefault="00BF13AA">
      <w:pPr>
        <w:rPr>
          <w:b/>
        </w:rPr>
      </w:pPr>
      <w:r>
        <w:rPr>
          <w:b/>
          <w:i/>
        </w:rPr>
        <w:t xml:space="preserve">Acerca de Total Especialidades Argentina </w:t>
      </w:r>
    </w:p>
    <w:p w:rsidR="00C24CC5" w:rsidRDefault="00BF13AA">
      <w:proofErr w:type="spellStart"/>
      <w:r>
        <w:t>TotalEnergies</w:t>
      </w:r>
      <w:proofErr w:type="spellEnd"/>
      <w:r>
        <w:t xml:space="preserve"> está presente en el mercado de lubricantes en Argentina a través de sus marcas </w:t>
      </w:r>
      <w:proofErr w:type="spellStart"/>
      <w:r>
        <w:t>Quartz</w:t>
      </w:r>
      <w:proofErr w:type="spellEnd"/>
      <w:r>
        <w:t>, Rubia, Hi-</w:t>
      </w:r>
      <w:proofErr w:type="spellStart"/>
      <w:r>
        <w:t>Perf</w:t>
      </w:r>
      <w:proofErr w:type="spellEnd"/>
      <w:r>
        <w:t xml:space="preserve"> y ELF, ofreciendo una amplia gama de productos diseñados </w:t>
      </w:r>
      <w:r>
        <w:lastRenderedPageBreak/>
        <w:t xml:space="preserve">para cubrir las necesidades de los segmentos auto, moto, agro e industria. </w:t>
      </w:r>
      <w:hyperlink r:id="rId8">
        <w:r>
          <w:rPr>
            <w:color w:val="0000FF"/>
            <w:u w:val="single"/>
          </w:rPr>
          <w:t>www.totalenergies.com.ar</w:t>
        </w:r>
      </w:hyperlink>
      <w:r>
        <w:t xml:space="preserve">      </w:t>
      </w:r>
    </w:p>
    <w:p w:rsidR="00C24CC5" w:rsidRDefault="00C24CC5"/>
    <w:p w:rsidR="00C24CC5" w:rsidRDefault="00BF13AA">
      <w:pPr>
        <w:jc w:val="center"/>
      </w:pPr>
      <w:r>
        <w:rPr>
          <w:noProof/>
          <w:lang w:val="es-ES"/>
        </w:rPr>
        <w:drawing>
          <wp:inline distT="0" distB="0" distL="0" distR="0">
            <wp:extent cx="216000" cy="216000"/>
            <wp:effectExtent l="0" t="0" r="0" 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color w:val="0000FF"/>
            <w:u w:val="single"/>
          </w:rPr>
          <w:t>@</w:t>
        </w:r>
        <w:proofErr w:type="spellStart"/>
        <w:r>
          <w:rPr>
            <w:color w:val="0000FF"/>
            <w:u w:val="single"/>
          </w:rPr>
          <w:t>TotalEnergiesAr</w:t>
        </w:r>
        <w:proofErr w:type="spellEnd"/>
      </w:hyperlink>
      <w:r>
        <w:rPr>
          <w:noProof/>
          <w:lang w:val="es-ES"/>
        </w:rPr>
        <w:drawing>
          <wp:inline distT="0" distB="0" distL="0" distR="0">
            <wp:extent cx="215900" cy="215900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>
        <w:proofErr w:type="spellStart"/>
        <w:r>
          <w:rPr>
            <w:color w:val="0000FF"/>
            <w:u w:val="single"/>
          </w:rPr>
          <w:t>TotalEnergiesArgentina</w:t>
        </w:r>
        <w:proofErr w:type="spellEnd"/>
      </w:hyperlink>
      <w:r>
        <w:rPr>
          <w:noProof/>
          <w:lang w:val="es-ES"/>
        </w:rPr>
        <w:drawing>
          <wp:inline distT="0" distB="0" distL="0" distR="0">
            <wp:extent cx="216000" cy="216000"/>
            <wp:effectExtent l="0" t="0" r="0" b="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> </w:t>
      </w:r>
      <w:proofErr w:type="spellStart"/>
      <w:r>
        <w:fldChar w:fldCharType="begin"/>
      </w:r>
      <w:r>
        <w:instrText xml:space="preserve"> HYPERLINK "htt</w:instrText>
      </w:r>
      <w:r>
        <w:instrText xml:space="preserve">ps://www.instagram.com/totalenergies_ar/" \h </w:instrText>
      </w:r>
      <w:r>
        <w:fldChar w:fldCharType="separate"/>
      </w:r>
      <w:r>
        <w:rPr>
          <w:color w:val="0000FF"/>
          <w:u w:val="single"/>
        </w:rPr>
        <w:t>TotalEnergies_Ar</w:t>
      </w:r>
      <w:proofErr w:type="spellEnd"/>
      <w:r>
        <w:rPr>
          <w:color w:val="0000FF"/>
          <w:u w:val="single"/>
        </w:rPr>
        <w:fldChar w:fldCharType="end"/>
      </w:r>
      <w:r>
        <w:rPr>
          <w:noProof/>
          <w:lang w:val="es-ES"/>
        </w:rPr>
        <w:drawing>
          <wp:inline distT="0" distB="0" distL="0" distR="0">
            <wp:extent cx="216000" cy="216000"/>
            <wp:effectExtent l="0" t="0" r="0" b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4">
        <w:proofErr w:type="spellStart"/>
        <w:r>
          <w:rPr>
            <w:color w:val="0000FF"/>
            <w:u w:val="single"/>
          </w:rPr>
          <w:t>elflubricantes_ar</w:t>
        </w:r>
        <w:proofErr w:type="spellEnd"/>
      </w:hyperlink>
      <w:r>
        <w:rPr>
          <w:color w:val="000000"/>
          <w:highlight w:val="white"/>
        </w:rPr>
        <w:br/>
      </w:r>
    </w:p>
    <w:p w:rsidR="00C24CC5" w:rsidRDefault="00BF13AA">
      <w:pPr>
        <w:jc w:val="center"/>
        <w:rPr>
          <w:color w:val="0000FF"/>
          <w:u w:val="single"/>
        </w:rPr>
      </w:pPr>
      <w:r>
        <w:rPr>
          <w:noProof/>
          <w:lang w:val="es-ES"/>
        </w:rPr>
        <w:drawing>
          <wp:inline distT="0" distB="0" distL="0" distR="0">
            <wp:extent cx="314325" cy="200025"/>
            <wp:effectExtent l="0" t="0" r="0" b="0"/>
            <wp:docPr id="3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6">
        <w:proofErr w:type="spellStart"/>
        <w:r>
          <w:rPr>
            <w:color w:val="0000FF"/>
            <w:u w:val="single"/>
          </w:rPr>
          <w:t>TotalEnergies</w:t>
        </w:r>
        <w:proofErr w:type="spellEnd"/>
        <w:r>
          <w:rPr>
            <w:color w:val="0000FF"/>
            <w:u w:val="single"/>
          </w:rPr>
          <w:t xml:space="preserve"> Argentina</w:t>
        </w:r>
      </w:hyperlink>
      <w:r>
        <w:rPr>
          <w:noProof/>
          <w:lang w:val="es-ES"/>
        </w:rPr>
        <w:drawing>
          <wp:inline distT="0" distB="0" distL="0" distR="0">
            <wp:extent cx="254511" cy="216000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11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8">
        <w:proofErr w:type="spellStart"/>
        <w:r>
          <w:rPr>
            <w:color w:val="0000FF"/>
            <w:u w:val="single"/>
          </w:rPr>
          <w:t>TotalEnergies</w:t>
        </w:r>
        <w:proofErr w:type="spellEnd"/>
      </w:hyperlink>
    </w:p>
    <w:p w:rsidR="00C24CC5" w:rsidRDefault="00C24CC5">
      <w:pPr>
        <w:jc w:val="center"/>
        <w:rPr>
          <w:color w:val="0000FF"/>
          <w:u w:val="single"/>
        </w:rPr>
      </w:pPr>
    </w:p>
    <w:p w:rsidR="00C24CC5" w:rsidRDefault="00C24CC5">
      <w:pPr>
        <w:jc w:val="center"/>
        <w:rPr>
          <w:sz w:val="20"/>
          <w:szCs w:val="20"/>
        </w:rPr>
      </w:pPr>
    </w:p>
    <w:p w:rsidR="00C24CC5" w:rsidRDefault="00BF13AA">
      <w:pPr>
        <w:spacing w:before="128" w:line="206" w:lineRule="auto"/>
        <w:rPr>
          <w:b/>
          <w:color w:val="000000"/>
        </w:rPr>
      </w:pPr>
      <w:r>
        <w:rPr>
          <w:b/>
          <w:color w:val="000000"/>
        </w:rPr>
        <w:t xml:space="preserve">Acerca de la división Marketing &amp; </w:t>
      </w:r>
      <w:proofErr w:type="spellStart"/>
      <w:r>
        <w:rPr>
          <w:b/>
          <w:color w:val="000000"/>
        </w:rPr>
        <w:t>Services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TotalEnergies</w:t>
      </w:r>
      <w:proofErr w:type="spellEnd"/>
    </w:p>
    <w:p w:rsidR="00C24CC5" w:rsidRDefault="00BF13A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El segmento comercial de Marketing y Servicios de </w:t>
      </w:r>
      <w:proofErr w:type="spellStart"/>
      <w:r>
        <w:rPr>
          <w:color w:val="000000"/>
        </w:rPr>
        <w:t>TotalEnergies</w:t>
      </w:r>
      <w:proofErr w:type="spellEnd"/>
      <w:r>
        <w:rPr>
          <w:color w:val="000000"/>
        </w:rPr>
        <w:t xml:space="preserve"> ofrece a sus clientes profesionales y privados una amplia gama de productos y servicios energéticos (productos derivados del petróleo, biocombustibles, carga y servicios relacionados para vehí</w:t>
      </w:r>
      <w:r>
        <w:rPr>
          <w:color w:val="000000"/>
        </w:rPr>
        <w:t>culos eléctricos, gas para el transporte terrestre y marítimo) para acompañarlos en su movilidad y ayudarlos a reducir su huella de carbono. Cada día, más de 8 millones de clientes visitan nuestras 16.000 estaciones de servicio en todo el mundo. Como cuart</w:t>
      </w:r>
      <w:r>
        <w:rPr>
          <w:color w:val="000000"/>
        </w:rPr>
        <w:t>o actor del mundo en lubricantes, diseñamos y comercializamos productos de alto rendimiento para los sectores de la automoción, industrial y marítimo. Y para dar la mejor respuesta a las necesidades de nuestros clientes B2B, desplegamos nuestras fuerzas de</w:t>
      </w:r>
      <w:r>
        <w:rPr>
          <w:color w:val="000000"/>
        </w:rPr>
        <w:t xml:space="preserve"> venta, nuestra red logística internacional y nuestra diversa oferta. Operamos en 107 países, donde nuestros 31.000 empleados están cerca de todos nuestros clientes.</w:t>
      </w:r>
    </w:p>
    <w:p w:rsidR="00C24CC5" w:rsidRDefault="00C24CC5">
      <w:pPr>
        <w:rPr>
          <w:b/>
        </w:rPr>
      </w:pPr>
    </w:p>
    <w:p w:rsidR="00C24CC5" w:rsidRDefault="00BF13AA">
      <w:pPr>
        <w:rPr>
          <w:b/>
        </w:rPr>
      </w:pPr>
      <w:r>
        <w:rPr>
          <w:b/>
          <w:i/>
        </w:rPr>
        <w:t xml:space="preserve">Sobre </w:t>
      </w:r>
      <w:proofErr w:type="spellStart"/>
      <w:r>
        <w:rPr>
          <w:b/>
          <w:i/>
        </w:rPr>
        <w:t>TotalEnergies</w:t>
      </w:r>
      <w:proofErr w:type="spellEnd"/>
    </w:p>
    <w:p w:rsidR="00C24CC5" w:rsidRDefault="00BF13AA"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es una compañía </w:t>
      </w:r>
      <w:proofErr w:type="spellStart"/>
      <w:r>
        <w:rPr>
          <w:i/>
        </w:rPr>
        <w:t>multienergética</w:t>
      </w:r>
      <w:proofErr w:type="spellEnd"/>
      <w:r>
        <w:rPr>
          <w:i/>
        </w:rPr>
        <w:t xml:space="preserve"> global que produce y comercializa energías: petróleo y biocombustibles, gas natural y gases verdes, renovables y electricidad. Nuestros 105.000 empleados están comprometidos con una energía cada vez más asequib</w:t>
      </w:r>
      <w:r>
        <w:rPr>
          <w:i/>
        </w:rPr>
        <w:t xml:space="preserve">le, más limpia, más fiable y accesible para la mayor cantidad de personas posible. Activa en más de 130 países,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pone el desarrollo sostenible en todas sus dimensiones en el centro de sus proyectos y operaciones para contribuir al bienestar de</w:t>
      </w:r>
      <w:r>
        <w:rPr>
          <w:i/>
        </w:rPr>
        <w:t xml:space="preserve"> las personas.</w:t>
      </w:r>
    </w:p>
    <w:p w:rsidR="00C24CC5" w:rsidRDefault="00C24CC5">
      <w:pPr>
        <w:rPr>
          <w:b/>
        </w:rPr>
      </w:pPr>
    </w:p>
    <w:p w:rsidR="00C24CC5" w:rsidRDefault="00BF13AA">
      <w:pPr>
        <w:rPr>
          <w:b/>
        </w:rPr>
      </w:pPr>
      <w:r>
        <w:rPr>
          <w:b/>
          <w:i/>
        </w:rPr>
        <w:t xml:space="preserve">Contactos </w:t>
      </w:r>
      <w:proofErr w:type="spellStart"/>
      <w:r>
        <w:rPr>
          <w:b/>
          <w:i/>
        </w:rPr>
        <w:t>TotalEnergies</w:t>
      </w:r>
      <w:proofErr w:type="spellEnd"/>
      <w:r>
        <w:rPr>
          <w:b/>
          <w:i/>
        </w:rPr>
        <w:t xml:space="preserve"> en Argentina</w:t>
      </w:r>
    </w:p>
    <w:p w:rsidR="00C24CC5" w:rsidRDefault="00C24CC5">
      <w:pPr>
        <w:rPr>
          <w:i/>
        </w:rPr>
      </w:pPr>
    </w:p>
    <w:p w:rsidR="00C24CC5" w:rsidRDefault="00BF13AA">
      <w:pPr>
        <w:rPr>
          <w:i/>
        </w:rPr>
      </w:pPr>
      <w:r>
        <w:rPr>
          <w:i/>
        </w:rPr>
        <w:t xml:space="preserve">Florencia </w:t>
      </w:r>
      <w:proofErr w:type="spellStart"/>
      <w:r>
        <w:rPr>
          <w:i/>
        </w:rPr>
        <w:t>Ameriso</w:t>
      </w:r>
      <w:proofErr w:type="spellEnd"/>
      <w:r>
        <w:rPr>
          <w:i/>
        </w:rPr>
        <w:t xml:space="preserve"> / +54 9 11 3779-0799 / </w:t>
      </w:r>
      <w:hyperlink r:id="rId19">
        <w:r>
          <w:rPr>
            <w:color w:val="0000FF"/>
            <w:u w:val="single"/>
          </w:rPr>
          <w:t>florencia.ameriso@totalenergies.com</w:t>
        </w:r>
      </w:hyperlink>
    </w:p>
    <w:p w:rsidR="00C24CC5" w:rsidRDefault="00C24CC5">
      <w:pPr>
        <w:rPr>
          <w:i/>
        </w:rPr>
      </w:pPr>
    </w:p>
    <w:p w:rsidR="00C24CC5" w:rsidRDefault="00BF13AA">
      <w:pPr>
        <w:rPr>
          <w:b/>
          <w:i/>
        </w:rPr>
      </w:pPr>
      <w:r>
        <w:rPr>
          <w:i/>
        </w:rPr>
        <w:t xml:space="preserve">Santiago </w:t>
      </w:r>
      <w:proofErr w:type="spellStart"/>
      <w:r>
        <w:rPr>
          <w:i/>
        </w:rPr>
        <w:t>Comesaña</w:t>
      </w:r>
      <w:proofErr w:type="spellEnd"/>
      <w:r>
        <w:rPr>
          <w:i/>
        </w:rPr>
        <w:t xml:space="preserve"> / +54 9 11 3636-8436 / </w:t>
      </w:r>
      <w:hyperlink r:id="rId20">
        <w:r>
          <w:rPr>
            <w:color w:val="0000FF"/>
            <w:u w:val="single"/>
          </w:rPr>
          <w:t>santiago@1love.com.ar</w:t>
        </w:r>
      </w:hyperlink>
    </w:p>
    <w:p w:rsidR="00C24CC5" w:rsidRDefault="00C24CC5">
      <w:pPr>
        <w:rPr>
          <w:i/>
        </w:rPr>
      </w:pPr>
    </w:p>
    <w:p w:rsidR="00C24CC5" w:rsidRDefault="00C24CC5"/>
    <w:p w:rsidR="00C24CC5" w:rsidRDefault="00BF13AA">
      <w:pPr>
        <w:rPr>
          <w:b/>
        </w:rPr>
      </w:pPr>
      <w:r>
        <w:rPr>
          <w:b/>
          <w:i/>
        </w:rPr>
        <w:t>Nota de Precaución</w:t>
      </w:r>
    </w:p>
    <w:p w:rsidR="00C24CC5" w:rsidRDefault="00BF13AA">
      <w:pPr>
        <w:rPr>
          <w:i/>
        </w:rPr>
      </w:pPr>
      <w:r>
        <w:rPr>
          <w:i/>
        </w:rPr>
        <w:t>Los términos "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", "Compañía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" o "Compañía" en este documento se utilizan para designar a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SE y las entidades consolidadas que están directa o indirectamente controla</w:t>
      </w:r>
      <w:r>
        <w:rPr>
          <w:i/>
        </w:rPr>
        <w:t xml:space="preserve">das por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SE. Asimismo, las palabras “nosotros”, “nos” y “nuestro” también pueden usarse para referirse a estas entidades o a sus </w:t>
      </w:r>
      <w:r>
        <w:rPr>
          <w:i/>
        </w:rPr>
        <w:lastRenderedPageBreak/>
        <w:t xml:space="preserve">empleados. Las entidades en las que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SE posee directa o indirectamente una participación accionaria s</w:t>
      </w:r>
      <w:r>
        <w:rPr>
          <w:i/>
        </w:rPr>
        <w:t xml:space="preserve">on entidades legales independientes.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SE no tiene responsabilidad por los actos u omisiones de estas entidades. Este documento puede contener información y declaraciones prospectivas que se basan en una serie de datos económicos y suposiciones</w:t>
      </w:r>
      <w:r>
        <w:rPr>
          <w:i/>
        </w:rPr>
        <w:t xml:space="preserve"> realizadas en un entorno económico, competitivo y regulatorio determinado. Pueden resultar inexactos en el futuro y están sujetos a una serie de factores de riesgo. Ni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SE ni ninguna de sus subsidiarias asume ninguna obligación de actualizar </w:t>
      </w:r>
      <w:r>
        <w:rPr>
          <w:i/>
        </w:rPr>
        <w:t>públicamente cualquier información o declaración prospectiva, objetivos o tendencias contenidas en este documento, ya sea como resultado de nueva información, eventos futuros u otros. La información sobre los factores de riesgo que pueden afectar los resul</w:t>
      </w:r>
      <w:r>
        <w:rPr>
          <w:i/>
        </w:rPr>
        <w:t xml:space="preserve">tados financieros o las actividades de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se proporciona en el Documento de registro más reciente, cuya versión en francés ha sido presentada por </w:t>
      </w:r>
      <w:proofErr w:type="spellStart"/>
      <w:r>
        <w:rPr>
          <w:i/>
        </w:rPr>
        <w:t>TotalEnergies</w:t>
      </w:r>
      <w:proofErr w:type="spellEnd"/>
      <w:r>
        <w:rPr>
          <w:i/>
        </w:rPr>
        <w:t xml:space="preserve"> SE ante el regulador de valores francés </w:t>
      </w:r>
      <w:proofErr w:type="spellStart"/>
      <w:r>
        <w:rPr>
          <w:i/>
        </w:rPr>
        <w:t>Autorité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MarchésFinanciers</w:t>
      </w:r>
      <w:proofErr w:type="spellEnd"/>
      <w:r>
        <w:rPr>
          <w:i/>
        </w:rPr>
        <w:t xml:space="preserve"> (AMF), y en el</w:t>
      </w:r>
      <w:r>
        <w:rPr>
          <w:i/>
        </w:rPr>
        <w:t xml:space="preserve"> Formulario 20-F presentado ante la Comisión de Bolsa y Valores de los Estados Unidos (SEC).</w:t>
      </w:r>
    </w:p>
    <w:sectPr w:rsidR="00C24CC5">
      <w:head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AA" w:rsidRDefault="00BF13AA">
      <w:pPr>
        <w:spacing w:line="240" w:lineRule="auto"/>
      </w:pPr>
      <w:r>
        <w:separator/>
      </w:r>
    </w:p>
  </w:endnote>
  <w:endnote w:type="continuationSeparator" w:id="0">
    <w:p w:rsidR="00BF13AA" w:rsidRDefault="00BF1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AA" w:rsidRDefault="00BF13AA">
      <w:pPr>
        <w:spacing w:line="240" w:lineRule="auto"/>
      </w:pPr>
      <w:r>
        <w:separator/>
      </w:r>
    </w:p>
  </w:footnote>
  <w:footnote w:type="continuationSeparator" w:id="0">
    <w:p w:rsidR="00BF13AA" w:rsidRDefault="00BF1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C5" w:rsidRDefault="00BF1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FF0000"/>
      </w:rPr>
    </w:pPr>
    <w:r>
      <w:rPr>
        <w:color w:val="000000"/>
        <w:sz w:val="56"/>
        <w:szCs w:val="56"/>
        <w:vertAlign w:val="superscript"/>
      </w:rPr>
      <w:tab/>
    </w:r>
    <w:r>
      <w:rPr>
        <w:rFonts w:ascii="Roboto" w:eastAsia="Roboto" w:hAnsi="Roboto" w:cs="Roboto"/>
        <w:noProof/>
        <w:color w:val="4A7D91"/>
        <w:sz w:val="32"/>
        <w:szCs w:val="32"/>
        <w:lang w:val="es-ES"/>
      </w:rPr>
      <w:drawing>
        <wp:inline distT="114300" distB="114300" distL="114300" distR="114300">
          <wp:extent cx="2088157" cy="1666198"/>
          <wp:effectExtent l="0" t="0" r="0" b="0"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157" cy="16661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color w:val="4A7D91"/>
        <w:sz w:val="32"/>
        <w:szCs w:val="32"/>
      </w:rPr>
      <w:t xml:space="preserve">              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2DB7"/>
    <w:multiLevelType w:val="multilevel"/>
    <w:tmpl w:val="EB4A2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5"/>
    <w:rsid w:val="002E0A33"/>
    <w:rsid w:val="00BF13AA"/>
    <w:rsid w:val="00C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CFF3-713B-4B58-8853-039AA3CB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62"/>
  </w:style>
  <w:style w:type="paragraph" w:styleId="Ttulo1">
    <w:name w:val="heading 1"/>
    <w:basedOn w:val="Normal"/>
    <w:next w:val="Normal"/>
    <w:uiPriority w:val="9"/>
    <w:qFormat/>
    <w:rsid w:val="004952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952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952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952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9526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952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9526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95262"/>
  </w:style>
  <w:style w:type="table" w:customStyle="1" w:styleId="TableNormal2">
    <w:name w:val="Table Normal"/>
    <w:rsid w:val="004952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952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95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F25E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E0"/>
  </w:style>
  <w:style w:type="paragraph" w:styleId="Piedepgina">
    <w:name w:val="footer"/>
    <w:basedOn w:val="Normal"/>
    <w:link w:val="PiedepginaCar"/>
    <w:uiPriority w:val="99"/>
    <w:unhideWhenUsed/>
    <w:rsid w:val="000F25E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E0"/>
  </w:style>
  <w:style w:type="paragraph" w:styleId="NormalWeb">
    <w:name w:val="Normal (Web)"/>
    <w:basedOn w:val="Normal"/>
    <w:uiPriority w:val="99"/>
    <w:unhideWhenUsed/>
    <w:rsid w:val="00E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A55B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55B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2BA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EF7C56"/>
    <w:rPr>
      <w:i/>
      <w:iCs/>
      <w:sz w:val="18"/>
      <w:szCs w:val="18"/>
    </w:rPr>
  </w:style>
  <w:style w:type="paragraph" w:styleId="Prrafodelista">
    <w:name w:val="List Paragraph"/>
    <w:basedOn w:val="Normal"/>
    <w:uiPriority w:val="34"/>
    <w:qFormat/>
    <w:rsid w:val="00EF7C56"/>
    <w:pPr>
      <w:spacing w:after="160" w:line="252" w:lineRule="auto"/>
      <w:ind w:left="720"/>
      <w:contextualSpacing/>
    </w:pPr>
    <w:rPr>
      <w:rFonts w:ascii="Calibri" w:eastAsiaTheme="minorHAnsi" w:hAnsi="Calibri" w:cs="Calibri"/>
      <w:lang w:val="fr-FR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133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1B139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energies.com.ar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company/totalenergie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otalEnergiesArgentina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totalarg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twitter.com/TotalEnergiesAR" TargetMode="External"/><Relationship Id="rId19" Type="http://schemas.openxmlformats.org/officeDocument/2006/relationships/hyperlink" Target="mailto:florencia.ameriso@totalenerg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elflubricantes_a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NsEajTC48Yd350X2sbFWYW95FQ==">AMUW2mV2REijA6RPChn/YAOBItKK4jdl5hsmwkF1Qc2r30jljQ01b0M4HJ4vXvnCJ1s9lylW1cuTm0dCxUzWlWKb4Yo6YVQS1kKyPPBc16ipmCImRboJU8LcuNKANA50REA30c2UGoyv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Gill</dc:creator>
  <cp:lastModifiedBy>Ramiro</cp:lastModifiedBy>
  <cp:revision>2</cp:revision>
  <dcterms:created xsi:type="dcterms:W3CDTF">2023-03-01T13:49:00Z</dcterms:created>
  <dcterms:modified xsi:type="dcterms:W3CDTF">2023-03-01T13:49:00Z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2021-10-18T12:42:31Z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32facda8-b038-44c8-8073-c3084a175a59</vt:lpwstr>
  </property>
  <property fmtid="{D5CDD505-2E9C-101B-9397-08002B2CF9AE}" pid="8" name="MSIP_Label_2b30ed1b-e95f-40b5-af89-828263f287a7_ContentBits">
    <vt:lpwstr>0</vt:lpwstr>
  </property>
</Properties>
</file>